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6A" w:rsidRPr="00EE436A" w:rsidRDefault="00EE436A" w:rsidP="00EE436A">
      <w:pPr>
        <w:rPr>
          <w:b/>
          <w:bCs/>
        </w:rPr>
      </w:pPr>
      <w:r w:rsidRPr="00EE436A">
        <w:rPr>
          <w:b/>
          <w:bCs/>
        </w:rPr>
        <w:t>Изменения в 2018 году в аттестации педагогических работников на присвоение квалификационной категории</w:t>
      </w:r>
    </w:p>
    <w:p w:rsidR="00EE436A" w:rsidRPr="00EE436A" w:rsidRDefault="00EE436A" w:rsidP="00EE436A">
      <w:r w:rsidRPr="00EE436A">
        <w:t>В 2017-2018 учебном году последние изменения относятся к аттестации учителей на установление (подтверждение) квалификационной категории или замещение новой должности в порядке должностного роста в соответствии с квалификацией.</w:t>
      </w:r>
    </w:p>
    <w:p w:rsidR="00EE436A" w:rsidRPr="00EE436A" w:rsidRDefault="00EE436A" w:rsidP="00EE436A">
      <w:pPr>
        <w:numPr>
          <w:ilvl w:val="0"/>
          <w:numId w:val="1"/>
        </w:numPr>
      </w:pPr>
      <w:r w:rsidRPr="00EE436A">
        <w:t xml:space="preserve">Изменятся сроки получения квалификационной категории. Педагогический работник сможет сразу получить высшую категорию, даже если не имеет первую категорию и никакого стажа преподавания. Поскольку стажа нет и показать результаты </w:t>
      </w:r>
      <w:proofErr w:type="gramStart"/>
      <w:r w:rsidRPr="00EE436A">
        <w:t>обучающихся</w:t>
      </w:r>
      <w:proofErr w:type="gramEnd"/>
      <w:r w:rsidRPr="00EE436A">
        <w:t xml:space="preserve"> учитель еще не сможет, на аттестации по новой модели нужно будет показать свои результаты.</w:t>
      </w:r>
    </w:p>
    <w:p w:rsidR="00EE436A" w:rsidRPr="00EE436A" w:rsidRDefault="00EE436A" w:rsidP="00EE436A">
      <w:r w:rsidRPr="00EE436A">
        <w:t>Благодаря изменениям в аттестации педагогических работников в 2018 году сократится дистанция, связанная со стажем, между начинающим учителем и учителем более опытным. При этом заслуги учителей старшего поколения никто не умаляет. Молодым учителям можно будет раньше выйти на аттестацию, если педагог видит себя профессионалом нового качества.</w:t>
      </w:r>
    </w:p>
    <w:p w:rsidR="00EE436A" w:rsidRPr="00EE436A" w:rsidRDefault="00EE436A" w:rsidP="00EE436A">
      <w:pPr>
        <w:numPr>
          <w:ilvl w:val="0"/>
          <w:numId w:val="2"/>
        </w:numPr>
      </w:pPr>
      <w:r w:rsidRPr="00EE436A">
        <w:t>Изменения в аттестации педагогических работников в 2018 году относятся и к количеству квалификационных категорий, присваиваемых по результатам аттестации – их число может быть расширено. В настоящее время действуют две категории: первая или высшая. Новая модель аттестации педагогических работников предполагает введение многоуровневой системы квалификаций.</w:t>
      </w:r>
    </w:p>
    <w:p w:rsidR="00EE436A" w:rsidRPr="00EE436A" w:rsidRDefault="00EE436A" w:rsidP="00EE436A">
      <w:pPr>
        <w:numPr>
          <w:ilvl w:val="0"/>
          <w:numId w:val="2"/>
        </w:numPr>
      </w:pPr>
      <w:r w:rsidRPr="00EE436A">
        <w:t>По новой модели аттестации педагогических работников присвоение (подтверждение) квалификации производится по результатам независимой (объективной) оценки с использованием при аттестации ЕФОМ (в настоящее время – по результатам субъективной оценки труда – на основе «портфолио»).</w:t>
      </w:r>
    </w:p>
    <w:p w:rsidR="00EE436A" w:rsidRPr="00EE436A" w:rsidRDefault="00EE436A" w:rsidP="00EE436A">
      <w:r w:rsidRPr="00EE436A">
        <w:drawing>
          <wp:inline distT="0" distB="0" distL="0" distR="0">
            <wp:extent cx="3381375" cy="2505075"/>
            <wp:effectExtent l="19050" t="0" r="9525" b="0"/>
            <wp:docPr id="31" name="Рисунок 31" descr="Аттестация педагогических работников в 2018 году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ттестация педагогических работников в 2018 году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6A" w:rsidRPr="00EE436A" w:rsidRDefault="00EE436A" w:rsidP="00EE436A">
      <w:r w:rsidRPr="00EE436A">
        <w:t>Существенные изменения в аттестации педагогических работников в 2018 году касаются содержания проверки. Контрольные измерительные материалы будут содержать три блока:</w:t>
      </w:r>
    </w:p>
    <w:p w:rsidR="00EE436A" w:rsidRPr="00EE436A" w:rsidRDefault="00EE436A" w:rsidP="00EE436A">
      <w:pPr>
        <w:numPr>
          <w:ilvl w:val="0"/>
          <w:numId w:val="3"/>
        </w:numPr>
      </w:pPr>
      <w:r w:rsidRPr="00EE436A">
        <w:t>уровень знаний по предмету, который преподает учитель</w:t>
      </w:r>
    </w:p>
    <w:p w:rsidR="00EE436A" w:rsidRPr="00EE436A" w:rsidRDefault="00EE436A" w:rsidP="00EE436A">
      <w:pPr>
        <w:numPr>
          <w:ilvl w:val="0"/>
          <w:numId w:val="3"/>
        </w:numPr>
      </w:pPr>
      <w:r w:rsidRPr="00EE436A">
        <w:t>блок по педагогической науке</w:t>
      </w:r>
    </w:p>
    <w:p w:rsidR="00EE436A" w:rsidRPr="00EE436A" w:rsidRDefault="00EE436A" w:rsidP="00EE436A">
      <w:pPr>
        <w:numPr>
          <w:ilvl w:val="0"/>
          <w:numId w:val="3"/>
        </w:numPr>
      </w:pPr>
      <w:r w:rsidRPr="00EE436A">
        <w:lastRenderedPageBreak/>
        <w:t>психологический блок (коммуникативные навыки).</w:t>
      </w:r>
    </w:p>
    <w:p w:rsidR="00EE436A" w:rsidRPr="00EE436A" w:rsidRDefault="00EE436A" w:rsidP="00EE436A">
      <w:r w:rsidRPr="00EE436A">
        <w:drawing>
          <wp:inline distT="0" distB="0" distL="0" distR="0">
            <wp:extent cx="2809875" cy="2095500"/>
            <wp:effectExtent l="19050" t="0" r="9525" b="0"/>
            <wp:docPr id="32" name="Рисунок 32" descr="Аттестация педагогических работников в 2018 году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ттестация педагогических работников в 2018 году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6A" w:rsidRPr="00EE436A" w:rsidRDefault="00EE436A" w:rsidP="00EE436A">
      <w:r w:rsidRPr="00EE436A">
        <w:t>Постепенно по этим трем направлениям расширят профессиональную оценку учителя.</w:t>
      </w:r>
    </w:p>
    <w:p w:rsidR="00EE436A" w:rsidRPr="00EE436A" w:rsidRDefault="00EE436A" w:rsidP="00EE436A">
      <w:r w:rsidRPr="00EE436A">
        <w:t>Важно помнить, что объективную оценку достижениям ученика можно дать только в динамике, в сравнении – «сегодня» нужно сравнивать с тем, что он мог «вчера», а не брать пиковые результаты учащихся.</w:t>
      </w:r>
    </w:p>
    <w:p w:rsidR="00EE436A" w:rsidRPr="00EE436A" w:rsidRDefault="00EE436A" w:rsidP="00EE436A">
      <w:hyperlink r:id="rId9" w:history="1">
        <w:r w:rsidRPr="00EE436A">
          <w:rPr>
            <w:rStyle w:val="a3"/>
          </w:rPr>
          <w:t>Скачать Положение о рейтинговой системе оценки деятельности педагогических работников</w:t>
        </w:r>
        <w:proofErr w:type="gramStart"/>
      </w:hyperlink>
      <w:r w:rsidRPr="00EE436A">
        <w:br/>
        <w:t>С</w:t>
      </w:r>
      <w:proofErr w:type="gramEnd"/>
      <w:r w:rsidRPr="00EE436A">
        <w:t>качать в .docx</w:t>
      </w:r>
    </w:p>
    <w:p w:rsidR="00EE436A" w:rsidRPr="00EE436A" w:rsidRDefault="00EE436A" w:rsidP="00EE436A">
      <w:r w:rsidRPr="00EE436A">
        <w:t>Методика расчета рейтинга учителя позволит оценить результативность учебной и внеклассной работы педагога по предмету, его научно-методической деятельности и своевременность выполнения поручений.</w:t>
      </w:r>
    </w:p>
    <w:p w:rsidR="00EE436A" w:rsidRPr="00EE436A" w:rsidRDefault="00EE436A" w:rsidP="00EE436A">
      <w:hyperlink r:id="rId10" w:history="1">
        <w:r w:rsidRPr="00EE436A">
          <w:rPr>
            <w:rStyle w:val="a3"/>
          </w:rPr>
          <w:t>Скачать документ Критерии оценки педагогического опыта</w:t>
        </w:r>
        <w:proofErr w:type="gramStart"/>
      </w:hyperlink>
      <w:r w:rsidRPr="00EE436A">
        <w:br/>
        <w:t>С</w:t>
      </w:r>
      <w:proofErr w:type="gramEnd"/>
      <w:r w:rsidRPr="00EE436A">
        <w:t>качать в .pdf</w:t>
      </w:r>
    </w:p>
    <w:p w:rsidR="00EE436A" w:rsidRPr="00EE436A" w:rsidRDefault="00EE436A" w:rsidP="00EE436A">
      <w:r w:rsidRPr="00EE436A">
        <w:t xml:space="preserve">Для оценки опыта работы педагога, который аттестуется на квалификационную категорию, предлагается взять критерии оценки конкурсного испытания «Методический семинар» Всероссийского конкурса «Учитель года России». Учитель излагает концептуальные </w:t>
      </w:r>
      <w:proofErr w:type="gramStart"/>
      <w:r w:rsidRPr="00EE436A">
        <w:t>методические подходы</w:t>
      </w:r>
      <w:proofErr w:type="gramEnd"/>
      <w:r w:rsidRPr="00EE436A">
        <w:t>, основанные на опыте работы, рассказывает о технологиях, которые помогают реализовать ФГОС общего образования и Профстандарт педагога.</w:t>
      </w:r>
    </w:p>
    <w:p w:rsidR="00EE436A" w:rsidRPr="00EE436A" w:rsidRDefault="00EE436A" w:rsidP="00EE436A">
      <w:pPr>
        <w:numPr>
          <w:ilvl w:val="0"/>
          <w:numId w:val="4"/>
        </w:numPr>
      </w:pPr>
      <w:r w:rsidRPr="00EE436A">
        <w:t>Сейчас категория действует пять лет. Периодичность прохождения аттестации по новой модели еще не утверждена: Рособрнадзор настаивает проводить аттестацию раз в 2-3 года, однако более вероятно, что установят срок в 4 года.</w:t>
      </w:r>
    </w:p>
    <w:p w:rsidR="00EE436A" w:rsidRPr="00EE436A" w:rsidRDefault="00EE436A" w:rsidP="00EE436A">
      <w:r w:rsidRPr="00EE436A">
        <w:lastRenderedPageBreak/>
        <w:drawing>
          <wp:inline distT="0" distB="0" distL="0" distR="0">
            <wp:extent cx="2809875" cy="2095500"/>
            <wp:effectExtent l="19050" t="0" r="9525" b="0"/>
            <wp:docPr id="33" name="Рисунок 33" descr="Аттестация педагогических работников в 2018 год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ттестация педагогических работников в 2018 году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6A" w:rsidRPr="00EE436A" w:rsidRDefault="00EE436A" w:rsidP="00EE436A">
      <w:pPr>
        <w:rPr>
          <w:b/>
          <w:bCs/>
        </w:rPr>
      </w:pPr>
      <w:r w:rsidRPr="00EE436A">
        <w:rPr>
          <w:b/>
          <w:bCs/>
        </w:rPr>
        <w:t>Риски новой модели аттестации педагогических работников</w:t>
      </w:r>
    </w:p>
    <w:p w:rsidR="00EE436A" w:rsidRPr="00EE436A" w:rsidRDefault="00EE436A" w:rsidP="00EE436A">
      <w:pPr>
        <w:numPr>
          <w:ilvl w:val="0"/>
          <w:numId w:val="5"/>
        </w:numPr>
      </w:pPr>
      <w:r w:rsidRPr="00EE436A">
        <w:t xml:space="preserve">В настоящее время еще неясно, по каким критериям и кто будет проверять эссе для оценки кругозора педагога; возможно эссе заменят </w:t>
      </w:r>
      <w:proofErr w:type="gramStart"/>
      <w:r w:rsidRPr="00EE436A">
        <w:t>на</w:t>
      </w:r>
      <w:proofErr w:type="gramEnd"/>
      <w:r w:rsidRPr="00EE436A">
        <w:t xml:space="preserve"> КИМ.</w:t>
      </w:r>
    </w:p>
    <w:p w:rsidR="00EE436A" w:rsidRPr="00EE436A" w:rsidRDefault="00EE436A" w:rsidP="00EE436A">
      <w:pPr>
        <w:numPr>
          <w:ilvl w:val="0"/>
          <w:numId w:val="5"/>
        </w:numPr>
      </w:pPr>
      <w:r w:rsidRPr="00EE436A">
        <w:t>Проверка психологических характеристик на основе анализа видео урока учителя</w:t>
      </w:r>
    </w:p>
    <w:p w:rsidR="00EE436A" w:rsidRPr="00EE436A" w:rsidRDefault="00EE436A" w:rsidP="00EE436A">
      <w:pPr>
        <w:numPr>
          <w:ilvl w:val="0"/>
          <w:numId w:val="6"/>
        </w:numPr>
      </w:pPr>
      <w:r w:rsidRPr="00EE436A">
        <w:t>трудности технического характера: профессиональное качество видео требует финансовых затрат;</w:t>
      </w:r>
    </w:p>
    <w:p w:rsidR="00EE436A" w:rsidRPr="00EE436A" w:rsidRDefault="00EE436A" w:rsidP="00EE436A">
      <w:pPr>
        <w:numPr>
          <w:ilvl w:val="0"/>
          <w:numId w:val="6"/>
        </w:numPr>
      </w:pPr>
      <w:r w:rsidRPr="00EE436A">
        <w:t>невозможно получить разрешения на съемку от всех родителей учеников.</w:t>
      </w:r>
    </w:p>
    <w:p w:rsidR="00EE436A" w:rsidRPr="00EE436A" w:rsidRDefault="00EE436A" w:rsidP="00EE436A">
      <w:pPr>
        <w:numPr>
          <w:ilvl w:val="0"/>
          <w:numId w:val="7"/>
        </w:numPr>
      </w:pPr>
      <w:r w:rsidRPr="00EE436A">
        <w:t>Подтверждение педагогической пригодности с юридической точки зрения можно оспорить в суде.</w:t>
      </w:r>
    </w:p>
    <w:p w:rsidR="00EE436A" w:rsidRPr="00EE436A" w:rsidRDefault="00EE436A" w:rsidP="00EE436A">
      <w:r w:rsidRPr="00EE436A">
        <w:t>Многие учителя считают такой вид проверки некорректным, ведь их квалификацию подтверждает диплом об образовании.</w:t>
      </w:r>
    </w:p>
    <w:p w:rsidR="00EE436A" w:rsidRPr="00EE436A" w:rsidRDefault="00EE436A" w:rsidP="00EE436A">
      <w:r w:rsidRPr="00EE436A">
        <w:t>Наверняка эти вопросы будут проработаны в новой модели аттестации педагогических работников.</w:t>
      </w:r>
    </w:p>
    <w:p w:rsidR="00EE436A" w:rsidRPr="00EE436A" w:rsidRDefault="00EE436A" w:rsidP="00EE436A">
      <w:r w:rsidRPr="00EE436A">
        <w:drawing>
          <wp:inline distT="0" distB="0" distL="0" distR="0">
            <wp:extent cx="3752850" cy="2381250"/>
            <wp:effectExtent l="19050" t="0" r="0" b="0"/>
            <wp:docPr id="34" name="Рисунок 34" descr="Аттестация педагогических работников в 2018 году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ттестация педагогических работников в 2018 году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6A" w:rsidRPr="00EE436A" w:rsidRDefault="00EE436A" w:rsidP="00EE436A">
      <w:pPr>
        <w:numPr>
          <w:ilvl w:val="0"/>
          <w:numId w:val="8"/>
        </w:numPr>
      </w:pPr>
      <w:r w:rsidRPr="00EE436A">
        <w:t>Что будет, если педагог не пройдет аттестацию? Увольнять педагогов не будут, так как это не является целью аттестации. Преподавателя будут направлять на обучение, переподготовку, курсы повышения квалификации.</w:t>
      </w:r>
    </w:p>
    <w:p w:rsidR="00EE436A" w:rsidRPr="00EE436A" w:rsidRDefault="00EE436A" w:rsidP="00EE436A">
      <w:pPr>
        <w:rPr>
          <w:b/>
          <w:bCs/>
        </w:rPr>
      </w:pPr>
      <w:r w:rsidRPr="00EE436A">
        <w:rPr>
          <w:b/>
          <w:bCs/>
        </w:rPr>
        <w:t>Перспективы профессионального роста педагогических работников в новой модели аттестации</w:t>
      </w:r>
    </w:p>
    <w:p w:rsidR="00EE436A" w:rsidRPr="00EE436A" w:rsidRDefault="00EE436A" w:rsidP="00EE436A">
      <w:r w:rsidRPr="00EE436A">
        <w:lastRenderedPageBreak/>
        <w:t>В настоящее время повышение уровня образования педагога и повышение уровня владения профессиональными компетенциями не влияют на профессиональный (в т.ч. должностной) рост педагога.</w:t>
      </w:r>
    </w:p>
    <w:p w:rsidR="00EE436A" w:rsidRPr="00EE436A" w:rsidRDefault="00EE436A" w:rsidP="00EE436A">
      <w:r w:rsidRPr="00EE436A">
        <w:drawing>
          <wp:inline distT="0" distB="0" distL="0" distR="0">
            <wp:extent cx="3752850" cy="2133600"/>
            <wp:effectExtent l="19050" t="0" r="0" b="0"/>
            <wp:docPr id="35" name="Рисунок 35" descr="Аттестация педагогических работников в 2018 году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Аттестация педагогических работников в 2018 году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6A" w:rsidRPr="00EE436A" w:rsidRDefault="00EE436A" w:rsidP="00EE436A">
      <w:r w:rsidRPr="00EE436A">
        <w:t>Введение новой модели аттестации педагогических работников позволит молодым учителям строить свою карьеру по разным направлениям и совершенствовать свои педагогические навыки (путь горизонтального роста).</w:t>
      </w:r>
    </w:p>
    <w:p w:rsidR="00EE436A" w:rsidRPr="00EE436A" w:rsidRDefault="00EE436A" w:rsidP="00EE436A">
      <w:r w:rsidRPr="00EE436A">
        <w:t>НСУР предполагает введение трех должностных градаций:</w:t>
      </w:r>
    </w:p>
    <w:p w:rsidR="00EE436A" w:rsidRPr="00EE436A" w:rsidRDefault="00EE436A" w:rsidP="00EE436A">
      <w:pPr>
        <w:numPr>
          <w:ilvl w:val="0"/>
          <w:numId w:val="9"/>
        </w:numPr>
      </w:pPr>
      <w:r w:rsidRPr="00EE436A">
        <w:t>"учитель" (окончил специализированное учебное заведение, обладает знанием своего предмета, умеет планировать урок),</w:t>
      </w:r>
    </w:p>
    <w:p w:rsidR="00EE436A" w:rsidRPr="00EE436A" w:rsidRDefault="00EE436A" w:rsidP="00EE436A">
      <w:pPr>
        <w:numPr>
          <w:ilvl w:val="0"/>
          <w:numId w:val="9"/>
        </w:numPr>
      </w:pPr>
      <w:r w:rsidRPr="00EE436A">
        <w:t>"старший учитель" (учитель с первой категорией – не просто приобрел опыт, но и овладел передовыми педагогическими технологиями, умеет работать с детьми с ОВЗ, способен сам разрабатывать учебные программы),</w:t>
      </w:r>
    </w:p>
    <w:p w:rsidR="00EE436A" w:rsidRPr="00EE436A" w:rsidRDefault="00EE436A" w:rsidP="00EE436A">
      <w:pPr>
        <w:numPr>
          <w:ilvl w:val="0"/>
          <w:numId w:val="9"/>
        </w:numPr>
      </w:pPr>
      <w:r w:rsidRPr="00EE436A">
        <w:t>"ведущий учитель" (учитель с высшей категорией – обладает всеми компетенциями старшего учителя, но выступает в роли интегратора).</w:t>
      </w:r>
    </w:p>
    <w:p w:rsidR="00EE436A" w:rsidRPr="00EE436A" w:rsidRDefault="00EE436A" w:rsidP="00EE436A">
      <w:r w:rsidRPr="00EE436A">
        <w:t>Старший преподаватель будет заниматься наставничеством, имея при этом небольшую нагрузку. В каждой градации могут быть еще по три деления.</w:t>
      </w:r>
    </w:p>
    <w:p w:rsidR="00EE436A" w:rsidRPr="00EE436A" w:rsidRDefault="00EE436A" w:rsidP="00EE436A">
      <w:r w:rsidRPr="00EE436A">
        <w:t>В новой модели аттестации прежние преференции педагогических работников отменяться не будут: сохранятся все предыдущие звания, квалификации, категории, право на пенсию по выслуге лет.</w:t>
      </w:r>
    </w:p>
    <w:p w:rsidR="00EE436A" w:rsidRPr="00EE436A" w:rsidRDefault="00EE436A" w:rsidP="00EE436A">
      <w:pPr>
        <w:rPr>
          <w:b/>
          <w:bCs/>
        </w:rPr>
      </w:pPr>
      <w:r w:rsidRPr="00EE436A">
        <w:rPr>
          <w:b/>
          <w:bCs/>
        </w:rPr>
        <w:t>Как будет проходить аттестация учителей в 2018 году: сроки внедрения</w:t>
      </w:r>
    </w:p>
    <w:p w:rsidR="00EE436A" w:rsidRPr="00EE436A" w:rsidRDefault="00EE436A" w:rsidP="00EE436A">
      <w:r w:rsidRPr="00EE436A">
        <w:t>В 2017-2018 учебном году аттестация учителей будет проходить по порядку, регламентированному приказом Минобрнауки России от 07.04.2014 № 276.</w:t>
      </w:r>
    </w:p>
    <w:p w:rsidR="00EE436A" w:rsidRPr="00EE436A" w:rsidRDefault="00EE436A" w:rsidP="00EE436A">
      <w:r w:rsidRPr="00EE436A">
        <w:t xml:space="preserve">С сентября 2017 г. в 13 регионах РФ проходит апробация </w:t>
      </w:r>
      <w:proofErr w:type="gramStart"/>
      <w:r w:rsidRPr="00EE436A">
        <w:t>модели уровневой оценки компетенций учителей русского языка</w:t>
      </w:r>
      <w:proofErr w:type="gramEnd"/>
      <w:r w:rsidRPr="00EE436A">
        <w:t xml:space="preserve"> и математики, выразивших готовность поучаствовать в ее проведении.</w:t>
      </w:r>
    </w:p>
    <w:p w:rsidR="00EE436A" w:rsidRPr="00EE436A" w:rsidRDefault="00EE436A" w:rsidP="00EE436A">
      <w:r w:rsidRPr="00EE436A">
        <w:lastRenderedPageBreak/>
        <w:drawing>
          <wp:inline distT="0" distB="0" distL="0" distR="0">
            <wp:extent cx="2809875" cy="2114550"/>
            <wp:effectExtent l="19050" t="0" r="9525" b="0"/>
            <wp:docPr id="36" name="Рисунок 36" descr="Аттестация педагогических работников в 2018 году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Аттестация педагогических работников в 2018 году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6A" w:rsidRPr="00EE436A" w:rsidRDefault="00EE436A" w:rsidP="00EE436A">
      <w:r w:rsidRPr="00EE436A">
        <w:t>Разработка новой системы аттестации будет продолжаться до 2020 года. Комплексная апробация новой системы аттестации, основанной на применении федерального банка заданий стандартизированной формы при установлении квалификационных категорий, будет проходить в пилотных регионах РФ и по выбору педагогов.</w:t>
      </w:r>
    </w:p>
    <w:p w:rsidR="00EE436A" w:rsidRPr="00EE436A" w:rsidRDefault="00EE436A" w:rsidP="00EE436A">
      <w:hyperlink r:id="rId19" w:history="1">
        <w:r w:rsidRPr="00EE436A">
          <w:rPr>
            <w:rStyle w:val="a3"/>
          </w:rPr>
          <w:t>Скачать документ Этапы разработки новой модели аттестации педагогических работников</w:t>
        </w:r>
        <w:proofErr w:type="gramStart"/>
      </w:hyperlink>
      <w:r w:rsidRPr="00EE436A">
        <w:br/>
        <w:t>С</w:t>
      </w:r>
      <w:proofErr w:type="gramEnd"/>
      <w:r w:rsidRPr="00EE436A">
        <w:t>качать в .pdf</w:t>
      </w:r>
    </w:p>
    <w:p w:rsidR="00EE436A" w:rsidRPr="00EE436A" w:rsidRDefault="00EE436A" w:rsidP="00EE436A">
      <w:r w:rsidRPr="00EE436A">
        <w:t>*Квалификация работника – уровень знаний, умений, профессиональных навыков и опыта работы работника (ст. 195.1 ТК РФ)</w:t>
      </w:r>
    </w:p>
    <w:p w:rsidR="00627E54" w:rsidRDefault="00627E54"/>
    <w:sectPr w:rsidR="0062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A2E"/>
    <w:multiLevelType w:val="multilevel"/>
    <w:tmpl w:val="B3D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71FB6"/>
    <w:multiLevelType w:val="multilevel"/>
    <w:tmpl w:val="6D84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2281F"/>
    <w:multiLevelType w:val="multilevel"/>
    <w:tmpl w:val="BAB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F6D76"/>
    <w:multiLevelType w:val="multilevel"/>
    <w:tmpl w:val="34F4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46556"/>
    <w:multiLevelType w:val="multilevel"/>
    <w:tmpl w:val="D8D0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C52B6"/>
    <w:multiLevelType w:val="multilevel"/>
    <w:tmpl w:val="A868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41BD0"/>
    <w:multiLevelType w:val="multilevel"/>
    <w:tmpl w:val="48E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97F59"/>
    <w:multiLevelType w:val="multilevel"/>
    <w:tmpl w:val="8EF0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83166"/>
    <w:multiLevelType w:val="multilevel"/>
    <w:tmpl w:val="B88A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436A"/>
    <w:rsid w:val="00627E54"/>
    <w:rsid w:val="00EE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37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174">
                      <w:marLeft w:val="2992"/>
                      <w:marRight w:val="48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408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enobr.ru/images/articles/65366/004.pn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enobr.ru/images/articles/65366/002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menobr.ru/images/articles/65366/006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enobr.ru/images/articles/65366/003.png" TargetMode="External"/><Relationship Id="rId5" Type="http://schemas.openxmlformats.org/officeDocument/2006/relationships/hyperlink" Target="https://www.menobr.ru/images/articles/65366/001.png" TargetMode="External"/><Relationship Id="rId15" Type="http://schemas.openxmlformats.org/officeDocument/2006/relationships/hyperlink" Target="https://www.menobr.ru/images/articles/65366/005.png" TargetMode="External"/><Relationship Id="rId10" Type="http://schemas.openxmlformats.org/officeDocument/2006/relationships/hyperlink" Target="https://www.menobr.ru/files/download/65366/Prilozhenie_1.pdf" TargetMode="External"/><Relationship Id="rId19" Type="http://schemas.openxmlformats.org/officeDocument/2006/relationships/hyperlink" Target="https://www.menobr.ru/files/download/65366/doky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obr.ru/files/download/65366/Pologenie.rt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2017-11-17T14:55:00Z</dcterms:created>
  <dcterms:modified xsi:type="dcterms:W3CDTF">2017-11-17T14:56:00Z</dcterms:modified>
</cp:coreProperties>
</file>